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3D0" w:rsidRDefault="004E6814">
      <w:pPr>
        <w:spacing w:line="360" w:lineRule="auto"/>
        <w:jc w:val="center"/>
        <w:rPr>
          <w:b/>
          <w:bCs/>
        </w:rPr>
      </w:pPr>
      <w:r>
        <w:rPr>
          <w:b/>
          <w:bCs/>
        </w:rPr>
        <w:t>YAZIM KURALLARI</w:t>
      </w:r>
    </w:p>
    <w:p w:rsidR="006163D0" w:rsidRDefault="004E6814">
      <w:pPr>
        <w:numPr>
          <w:ilvl w:val="0"/>
          <w:numId w:val="2"/>
        </w:numPr>
        <w:spacing w:line="360" w:lineRule="auto"/>
        <w:jc w:val="both"/>
      </w:pPr>
      <w:r>
        <w:t xml:space="preserve">Kitap bölümleri genişliği 16 cm yüksekliği 24 cm olan ölçülere göre yazılmalıdır. </w:t>
      </w:r>
    </w:p>
    <w:p w:rsidR="006163D0" w:rsidRDefault="004E6814">
      <w:pPr>
        <w:numPr>
          <w:ilvl w:val="0"/>
          <w:numId w:val="2"/>
        </w:numPr>
        <w:spacing w:line="360" w:lineRule="auto"/>
        <w:jc w:val="both"/>
      </w:pPr>
      <w:r>
        <w:t>Sayfa kenar boşlukları sol 2,5 cm, üst- alt-sağ 2 cm olarak ayarlanmalıdır.</w:t>
      </w:r>
    </w:p>
    <w:p w:rsidR="006163D0" w:rsidRDefault="004E6814">
      <w:pPr>
        <w:numPr>
          <w:ilvl w:val="0"/>
          <w:numId w:val="2"/>
        </w:numPr>
        <w:spacing w:line="360" w:lineRule="auto"/>
        <w:jc w:val="both"/>
      </w:pPr>
      <w:r>
        <w:t xml:space="preserve">Metnin ana başlığı </w:t>
      </w:r>
      <w:r>
        <w:rPr>
          <w:b/>
          <w:bCs/>
        </w:rPr>
        <w:t xml:space="preserve">Times New Roman </w:t>
      </w:r>
      <w:r>
        <w:t xml:space="preserve">yazı karakteri ile tamamı büyük harflerle 14 punto ve kalın olarak yazılmalıdır. Ana başlık sayfaya ortalanmalıdır. </w:t>
      </w:r>
    </w:p>
    <w:p w:rsidR="006163D0" w:rsidRDefault="004E6814">
      <w:pPr>
        <w:numPr>
          <w:ilvl w:val="0"/>
          <w:numId w:val="2"/>
        </w:numPr>
        <w:spacing w:line="360" w:lineRule="auto"/>
        <w:jc w:val="both"/>
      </w:pPr>
      <w:r>
        <w:t xml:space="preserve">Metin ana başlığından sonra iki satır boşluk bırakılarak 12 punto </w:t>
      </w:r>
      <w:r>
        <w:rPr>
          <w:b/>
          <w:bCs/>
        </w:rPr>
        <w:t xml:space="preserve">Times New Roman </w:t>
      </w:r>
      <w:r>
        <w:t xml:space="preserve">yazı karakteri ile yazar adı ve soyadı yazılmalıdır. Yazar adının sadece ilk harfi, soyadının ise tamamı büyük harfle yazılmalıdır. Yazar isimleri sağa yaslı olarak yazılmalıdır. Birden fazla yazar varsa isimler yan yana yazılmalıdır. </w:t>
      </w:r>
    </w:p>
    <w:p w:rsidR="006163D0" w:rsidRDefault="004E6814">
      <w:pPr>
        <w:numPr>
          <w:ilvl w:val="0"/>
          <w:numId w:val="2"/>
        </w:numPr>
        <w:spacing w:line="360" w:lineRule="auto"/>
        <w:jc w:val="both"/>
      </w:pPr>
      <w:r>
        <w:t>Yazarın unvanı, kurumu, e-mail adresi dipnot şeklinde 9 punto Times New Roman yazı karakteri ile ilk sayfada belirtilmelidir.</w:t>
      </w:r>
    </w:p>
    <w:p w:rsidR="006163D0" w:rsidRDefault="004E6814">
      <w:pPr>
        <w:numPr>
          <w:ilvl w:val="0"/>
          <w:numId w:val="2"/>
        </w:numPr>
        <w:spacing w:line="360" w:lineRule="auto"/>
        <w:jc w:val="both"/>
      </w:pPr>
      <w:r>
        <w:t xml:space="preserve">Yazar adlarından sonra 1 satır boşluk bırakılmalıdır. </w:t>
      </w:r>
    </w:p>
    <w:p w:rsidR="006163D0" w:rsidRDefault="004E6814">
      <w:pPr>
        <w:numPr>
          <w:ilvl w:val="0"/>
          <w:numId w:val="2"/>
        </w:numPr>
        <w:spacing w:line="360" w:lineRule="auto"/>
        <w:jc w:val="both"/>
      </w:pPr>
      <w:r>
        <w:t xml:space="preserve">Metin </w:t>
      </w:r>
      <w:r>
        <w:rPr>
          <w:b/>
          <w:bCs/>
        </w:rPr>
        <w:t xml:space="preserve">Times New Roman </w:t>
      </w:r>
      <w:r>
        <w:t xml:space="preserve">yazı karakteri ile 11 punto ve 1.15 satır aralığı kullanılarak </w:t>
      </w:r>
      <w:r>
        <w:rPr>
          <w:u w:val="single"/>
        </w:rPr>
        <w:t>iki yana yaslı</w:t>
      </w:r>
      <w:r>
        <w:t xml:space="preserve"> olarak yazılmalıdır.  </w:t>
      </w:r>
    </w:p>
    <w:p w:rsidR="006163D0" w:rsidRDefault="004E6814">
      <w:pPr>
        <w:numPr>
          <w:ilvl w:val="0"/>
          <w:numId w:val="2"/>
        </w:numPr>
        <w:spacing w:line="360" w:lineRule="auto"/>
        <w:jc w:val="both"/>
      </w:pPr>
      <w:r>
        <w:t>Metin içindeki Başlıkların Yazımı</w:t>
      </w:r>
    </w:p>
    <w:p w:rsidR="006163D0" w:rsidRDefault="004E6814">
      <w:pPr>
        <w:tabs>
          <w:tab w:val="left" w:pos="284"/>
        </w:tabs>
        <w:spacing w:line="360" w:lineRule="auto"/>
      </w:pPr>
      <w:r>
        <w:tab/>
        <w:t>1.derece başlıklar; sadece ilk harfler büyük ve kalın, 14 punto,</w:t>
      </w:r>
    </w:p>
    <w:p w:rsidR="006163D0" w:rsidRDefault="004E6814">
      <w:pPr>
        <w:tabs>
          <w:tab w:val="left" w:pos="284"/>
        </w:tabs>
        <w:spacing w:line="360" w:lineRule="auto"/>
      </w:pPr>
      <w:r>
        <w:tab/>
        <w:t>2.derece başlıklar; sadece ilk harfler büyük ve kalın, 13 punto,</w:t>
      </w:r>
    </w:p>
    <w:p w:rsidR="006163D0" w:rsidRDefault="004E6814">
      <w:pPr>
        <w:tabs>
          <w:tab w:val="left" w:pos="284"/>
        </w:tabs>
        <w:spacing w:line="360" w:lineRule="auto"/>
      </w:pPr>
      <w:r>
        <w:tab/>
        <w:t>3.derece başlıklar; sadece ilk harfler büyük ve kalın, 12 punto,</w:t>
      </w:r>
    </w:p>
    <w:p w:rsidR="006163D0" w:rsidRDefault="004E6814">
      <w:pPr>
        <w:numPr>
          <w:ilvl w:val="0"/>
          <w:numId w:val="2"/>
        </w:numPr>
        <w:spacing w:line="360" w:lineRule="auto"/>
        <w:jc w:val="both"/>
      </w:pPr>
      <w:r>
        <w:t xml:space="preserve">Paragraflar önce 0nk, sonra 5 </w:t>
      </w:r>
      <w:proofErr w:type="spellStart"/>
      <w:r>
        <w:t>nk</w:t>
      </w:r>
      <w:proofErr w:type="spellEnd"/>
      <w:r>
        <w:t xml:space="preserve"> olacak şekilde düzenlenmelidir.</w:t>
      </w:r>
    </w:p>
    <w:p w:rsidR="006163D0" w:rsidRDefault="004E6814">
      <w:pPr>
        <w:numPr>
          <w:ilvl w:val="0"/>
          <w:numId w:val="2"/>
        </w:numPr>
        <w:spacing w:line="360" w:lineRule="auto"/>
        <w:jc w:val="both"/>
      </w:pPr>
      <w:r>
        <w:t xml:space="preserve">Paragraf girintisi 0,5 cm olmalıdır. </w:t>
      </w:r>
    </w:p>
    <w:p w:rsidR="006163D0" w:rsidRDefault="004E6814">
      <w:pPr>
        <w:numPr>
          <w:ilvl w:val="0"/>
          <w:numId w:val="2"/>
        </w:numPr>
        <w:spacing w:line="360" w:lineRule="auto"/>
        <w:jc w:val="both"/>
      </w:pPr>
      <w:r>
        <w:t xml:space="preserve">Dipnotlar 9 punto olarak verilmelidir. Dipnotlarda kaynakça yer almamalı sadece açıklamalara yer verilmelidir. </w:t>
      </w:r>
    </w:p>
    <w:p w:rsidR="006163D0" w:rsidRDefault="004E6814">
      <w:pPr>
        <w:numPr>
          <w:ilvl w:val="0"/>
          <w:numId w:val="2"/>
        </w:numPr>
        <w:spacing w:line="360" w:lineRule="auto"/>
        <w:jc w:val="both"/>
      </w:pPr>
      <w:r>
        <w:t xml:space="preserve">Tablolar numaralandırılmalı, tablo başlığı tablonun </w:t>
      </w:r>
      <w:r w:rsidRPr="00C761C6">
        <w:rPr>
          <w:b/>
          <w:u w:val="single"/>
        </w:rPr>
        <w:t>üstünde</w:t>
      </w:r>
      <w:r>
        <w:t xml:space="preserve"> yer almalı, 11 punto ve kalın olarak yazılmalıdır. Tablo içeriği 10 punto ve tek satır aralığında olmalıdır.  Tablolar bir sonraki sayfaya kayarak bölünmemelidir. </w:t>
      </w:r>
    </w:p>
    <w:p w:rsidR="006163D0" w:rsidRDefault="004E6814">
      <w:pPr>
        <w:numPr>
          <w:ilvl w:val="0"/>
          <w:numId w:val="2"/>
        </w:numPr>
        <w:spacing w:line="360" w:lineRule="auto"/>
        <w:jc w:val="both"/>
      </w:pPr>
      <w:r>
        <w:t>Şekil ve grafikler numaralandırılmalı, şekil ve grafik adları</w:t>
      </w:r>
      <w:r w:rsidR="005F413E">
        <w:t>, şekil-grafi</w:t>
      </w:r>
      <w:r w:rsidR="009E0B2E">
        <w:t>ğin</w:t>
      </w:r>
      <w:r>
        <w:t xml:space="preserve"> </w:t>
      </w:r>
      <w:r w:rsidRPr="00C761C6">
        <w:rPr>
          <w:b/>
          <w:u w:val="single"/>
        </w:rPr>
        <w:t>alt</w:t>
      </w:r>
      <w:bookmarkStart w:id="0" w:name="_GoBack"/>
      <w:bookmarkEnd w:id="0"/>
      <w:r w:rsidR="005F413E" w:rsidRPr="00C761C6">
        <w:rPr>
          <w:b/>
          <w:u w:val="single"/>
        </w:rPr>
        <w:t>ında</w:t>
      </w:r>
      <w:r>
        <w:t xml:space="preserve"> 10 punto ve italik olarak yazılmalıdır. </w:t>
      </w:r>
    </w:p>
    <w:p w:rsidR="006163D0" w:rsidRDefault="004E6814">
      <w:pPr>
        <w:numPr>
          <w:ilvl w:val="0"/>
          <w:numId w:val="2"/>
        </w:numPr>
        <w:spacing w:line="360" w:lineRule="auto"/>
        <w:jc w:val="both"/>
      </w:pPr>
      <w:r>
        <w:t>Tablo, şekil ve grafiklere metin içinde atıf yapılmalıdır. (Tablo 1’de, Şekil 2’de vb. gibi)</w:t>
      </w:r>
    </w:p>
    <w:p w:rsidR="006163D0" w:rsidRDefault="004E6814">
      <w:pPr>
        <w:numPr>
          <w:ilvl w:val="0"/>
          <w:numId w:val="2"/>
        </w:numPr>
        <w:spacing w:line="360" w:lineRule="auto"/>
        <w:jc w:val="both"/>
      </w:pPr>
      <w:r>
        <w:t xml:space="preserve">Metin kaynakça dâhil </w:t>
      </w:r>
      <w:r>
        <w:rPr>
          <w:b/>
          <w:bCs/>
          <w:u w:val="single"/>
        </w:rPr>
        <w:t>20 sayfayı geçmemelidir</w:t>
      </w:r>
      <w:r>
        <w:t xml:space="preserve">. </w:t>
      </w:r>
    </w:p>
    <w:p w:rsidR="006163D0" w:rsidRDefault="004E6814">
      <w:pPr>
        <w:numPr>
          <w:ilvl w:val="0"/>
          <w:numId w:val="2"/>
        </w:numPr>
        <w:spacing w:line="360" w:lineRule="auto"/>
        <w:jc w:val="both"/>
      </w:pPr>
      <w:r>
        <w:t>Alıntılar metin içinde numara kullanılarak verilmeli</w:t>
      </w:r>
      <w:r w:rsidR="005B5D21">
        <w:t>, cümle sonunda noktadan sonra parantez içinde yazılmalıdır</w:t>
      </w:r>
      <w:r>
        <w:t xml:space="preserve">. </w:t>
      </w:r>
    </w:p>
    <w:p w:rsidR="006163D0" w:rsidRDefault="004E6814">
      <w:pPr>
        <w:numPr>
          <w:ilvl w:val="0"/>
          <w:numId w:val="2"/>
        </w:numPr>
        <w:spacing w:line="360" w:lineRule="auto"/>
        <w:jc w:val="both"/>
      </w:pPr>
      <w:r>
        <w:t xml:space="preserve">Kaynaklar metin içerisindeki sıraya göre yazılmalıdır. Kullanılan tüm kaynaklar orijinal dilinde yazılmalıdır. Kaynakça yazım örnekleri aşağıda verilmektedir. </w:t>
      </w:r>
    </w:p>
    <w:p w:rsidR="002C7205" w:rsidRDefault="002C7205">
      <w:pPr>
        <w:numPr>
          <w:ilvl w:val="0"/>
          <w:numId w:val="2"/>
        </w:numPr>
        <w:spacing w:line="360" w:lineRule="auto"/>
        <w:jc w:val="both"/>
      </w:pPr>
      <w:r>
        <w:t xml:space="preserve">Derlemen </w:t>
      </w:r>
      <w:proofErr w:type="spellStart"/>
      <w:r>
        <w:t>Turnitin</w:t>
      </w:r>
      <w:proofErr w:type="spellEnd"/>
      <w:r>
        <w:t xml:space="preserve"> benzeşim raporu sisteme yüklenmeli ve benzeşim %20’den az olmalıdır.</w:t>
      </w:r>
    </w:p>
    <w:p w:rsidR="006163D0" w:rsidRDefault="004E6814">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jc w:val="both"/>
        <w:rPr>
          <w:rFonts w:ascii="Times" w:eastAsia="Times" w:hAnsi="Times" w:cs="Times"/>
          <w:sz w:val="24"/>
          <w:szCs w:val="24"/>
          <w:shd w:val="clear" w:color="auto" w:fill="FFFFFF"/>
        </w:rPr>
      </w:pPr>
      <w:r>
        <w:rPr>
          <w:rFonts w:ascii="Times New Roman" w:hAnsi="Times New Roman"/>
          <w:b/>
          <w:bCs/>
          <w:sz w:val="24"/>
          <w:szCs w:val="24"/>
          <w:shd w:val="clear" w:color="auto" w:fill="FFFFFF"/>
        </w:rPr>
        <w:lastRenderedPageBreak/>
        <w:t xml:space="preserve">Makale: </w:t>
      </w:r>
      <w:r>
        <w:rPr>
          <w:rFonts w:ascii="Times New Roman" w:hAnsi="Times New Roman"/>
          <w:sz w:val="24"/>
          <w:szCs w:val="24"/>
          <w:shd w:val="clear" w:color="auto" w:fill="FFFFFF"/>
        </w:rPr>
        <w:t>Yazar soyadı, Yazar adının baş harfi (yazar sayısı 3 ve daha az olan makaleler i</w:t>
      </w:r>
      <w:r>
        <w:rPr>
          <w:rFonts w:ascii="Times New Roman" w:hAnsi="Times New Roman"/>
          <w:sz w:val="24"/>
          <w:szCs w:val="24"/>
          <w:shd w:val="clear" w:color="auto" w:fill="FFFFFF"/>
          <w:lang w:val="pt-PT"/>
        </w:rPr>
        <w:t>ç</w:t>
      </w:r>
      <w:r>
        <w:rPr>
          <w:rFonts w:ascii="Times New Roman" w:hAnsi="Times New Roman"/>
          <w:sz w:val="24"/>
          <w:szCs w:val="24"/>
          <w:shd w:val="clear" w:color="auto" w:fill="FFFFFF"/>
          <w:lang w:val="en-US"/>
        </w:rPr>
        <w:t>in t</w:t>
      </w:r>
      <w:r>
        <w:rPr>
          <w:rFonts w:ascii="Times New Roman" w:hAnsi="Times New Roman"/>
          <w:sz w:val="24"/>
          <w:szCs w:val="24"/>
          <w:shd w:val="clear" w:color="auto" w:fill="FFFFFF"/>
        </w:rPr>
        <w:t>üm yazarlar belirtilmeli, 3’den fazla olan yazar sayısı olan makaleler i</w:t>
      </w:r>
      <w:r>
        <w:rPr>
          <w:rFonts w:ascii="Times New Roman" w:hAnsi="Times New Roman"/>
          <w:sz w:val="24"/>
          <w:szCs w:val="24"/>
          <w:shd w:val="clear" w:color="auto" w:fill="FFFFFF"/>
          <w:lang w:val="pt-PT"/>
        </w:rPr>
        <w:t>ç</w:t>
      </w:r>
      <w:r>
        <w:rPr>
          <w:rFonts w:ascii="Times New Roman" w:hAnsi="Times New Roman"/>
          <w:sz w:val="24"/>
          <w:szCs w:val="24"/>
          <w:shd w:val="clear" w:color="auto" w:fill="FFFFFF"/>
        </w:rPr>
        <w:t xml:space="preserve">in ilk 3 isim belirtilmelidir), Makalenin başlığı. </w:t>
      </w:r>
      <w:r>
        <w:rPr>
          <w:rFonts w:ascii="Times New Roman" w:hAnsi="Times New Roman"/>
          <w:i/>
          <w:iCs/>
          <w:sz w:val="24"/>
          <w:szCs w:val="24"/>
          <w:shd w:val="clear" w:color="auto" w:fill="FFFFFF"/>
        </w:rPr>
        <w:t>Makalenin Yayı</w:t>
      </w:r>
      <w:r>
        <w:rPr>
          <w:rFonts w:ascii="Times New Roman" w:hAnsi="Times New Roman"/>
          <w:i/>
          <w:iCs/>
          <w:sz w:val="24"/>
          <w:szCs w:val="24"/>
          <w:shd w:val="clear" w:color="auto" w:fill="FFFFFF"/>
          <w:lang w:val="nl-NL"/>
        </w:rPr>
        <w:t>nland</w:t>
      </w:r>
      <w:r>
        <w:rPr>
          <w:rFonts w:ascii="Times New Roman" w:hAnsi="Times New Roman"/>
          <w:i/>
          <w:iCs/>
          <w:sz w:val="24"/>
          <w:szCs w:val="24"/>
          <w:shd w:val="clear" w:color="auto" w:fill="FFFFFF"/>
        </w:rPr>
        <w:t>ığı Derginin Adı, Sayı</w:t>
      </w:r>
      <w:r>
        <w:rPr>
          <w:rFonts w:ascii="Times New Roman" w:hAnsi="Times New Roman"/>
          <w:sz w:val="24"/>
          <w:szCs w:val="24"/>
          <w:shd w:val="clear" w:color="auto" w:fill="FFFFFF"/>
        </w:rPr>
        <w:t xml:space="preserve"> (Cilt), sayfa no. Varsa Doi numarası. </w:t>
      </w:r>
    </w:p>
    <w:p w:rsidR="006163D0" w:rsidRDefault="006163D0">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rPr>
          <w:rFonts w:ascii="Times" w:eastAsia="Times" w:hAnsi="Times" w:cs="Times"/>
          <w:sz w:val="24"/>
          <w:szCs w:val="24"/>
          <w:shd w:val="clear" w:color="auto" w:fill="FFFFFF"/>
        </w:rPr>
      </w:pPr>
    </w:p>
    <w:p w:rsidR="006163D0" w:rsidRDefault="004E6814">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jc w:val="both"/>
        <w:rPr>
          <w:rFonts w:ascii="Times" w:eastAsia="Times" w:hAnsi="Times" w:cs="Times"/>
          <w:sz w:val="24"/>
          <w:szCs w:val="24"/>
          <w:shd w:val="clear" w:color="auto" w:fill="FFFFFF"/>
        </w:rPr>
      </w:pPr>
      <w:r>
        <w:rPr>
          <w:rFonts w:ascii="Times New Roman" w:hAnsi="Times New Roman"/>
          <w:sz w:val="24"/>
          <w:szCs w:val="24"/>
          <w:shd w:val="clear" w:color="auto" w:fill="FFFFFF"/>
        </w:rPr>
        <w:t>Ö</w:t>
      </w:r>
      <w:r>
        <w:rPr>
          <w:rFonts w:ascii="Times New Roman" w:hAnsi="Times New Roman"/>
          <w:sz w:val="24"/>
          <w:szCs w:val="24"/>
          <w:shd w:val="clear" w:color="auto" w:fill="FFFFFF"/>
          <w:lang w:val="en-US"/>
        </w:rPr>
        <w:t>rnek-1:Hampden-Thompson G, Galindo, C. School</w:t>
      </w:r>
      <w:r>
        <w:rPr>
          <w:rFonts w:ascii="Times New Roman" w:hAnsi="Times New Roman"/>
          <w:sz w:val="24"/>
          <w:szCs w:val="24"/>
          <w:shd w:val="clear" w:color="auto" w:fill="FFFFFF"/>
        </w:rPr>
        <w:t>–</w:t>
      </w:r>
      <w:r>
        <w:rPr>
          <w:rFonts w:ascii="Times New Roman" w:hAnsi="Times New Roman"/>
          <w:sz w:val="24"/>
          <w:szCs w:val="24"/>
          <w:shd w:val="clear" w:color="auto" w:fill="FFFFFF"/>
          <w:lang w:val="en-US"/>
        </w:rPr>
        <w:t xml:space="preserve">family relationships, school satisfaction and the academic achievement of young people. </w:t>
      </w:r>
      <w:r>
        <w:rPr>
          <w:rFonts w:ascii="Times New Roman" w:hAnsi="Times New Roman"/>
          <w:i/>
          <w:iCs/>
          <w:sz w:val="24"/>
          <w:szCs w:val="24"/>
          <w:shd w:val="clear" w:color="auto" w:fill="FFFFFF"/>
          <w:lang w:val="en-US"/>
        </w:rPr>
        <w:t>Educational Review, 69</w:t>
      </w:r>
      <w:r>
        <w:rPr>
          <w:rFonts w:ascii="Times New Roman" w:hAnsi="Times New Roman"/>
          <w:sz w:val="24"/>
          <w:szCs w:val="24"/>
          <w:shd w:val="clear" w:color="auto" w:fill="FFFFFF"/>
        </w:rPr>
        <w:t xml:space="preserve"> (2), 248-265. Doi: 10.1080/00131911.2016.1207613</w:t>
      </w:r>
    </w:p>
    <w:p w:rsidR="006163D0" w:rsidRDefault="006163D0">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rPr>
          <w:rFonts w:ascii="Times" w:eastAsia="Times" w:hAnsi="Times" w:cs="Times"/>
          <w:sz w:val="24"/>
          <w:szCs w:val="24"/>
          <w:shd w:val="clear" w:color="auto" w:fill="FFFFFF"/>
        </w:rPr>
      </w:pPr>
    </w:p>
    <w:p w:rsidR="006163D0" w:rsidRDefault="004E6814">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jc w:val="both"/>
        <w:rPr>
          <w:rFonts w:ascii="Times" w:eastAsia="Times" w:hAnsi="Times" w:cs="Times"/>
          <w:sz w:val="24"/>
          <w:szCs w:val="24"/>
          <w:shd w:val="clear" w:color="auto" w:fill="FFFFFF"/>
        </w:rPr>
      </w:pPr>
      <w:r>
        <w:rPr>
          <w:rFonts w:ascii="Times New Roman" w:hAnsi="Times New Roman"/>
          <w:sz w:val="24"/>
          <w:szCs w:val="24"/>
          <w:shd w:val="clear" w:color="auto" w:fill="FFFFFF"/>
        </w:rPr>
        <w:t>Ö</w:t>
      </w:r>
      <w:r>
        <w:rPr>
          <w:rFonts w:ascii="Times New Roman" w:hAnsi="Times New Roman"/>
          <w:sz w:val="24"/>
          <w:szCs w:val="24"/>
          <w:shd w:val="clear" w:color="auto" w:fill="FFFFFF"/>
          <w:lang w:val="en-US"/>
        </w:rPr>
        <w:t xml:space="preserve">rnek-2: </w:t>
      </w:r>
      <w:proofErr w:type="spellStart"/>
      <w:r>
        <w:rPr>
          <w:rFonts w:ascii="Times New Roman" w:hAnsi="Times New Roman"/>
          <w:sz w:val="24"/>
          <w:szCs w:val="24"/>
          <w:shd w:val="clear" w:color="auto" w:fill="FFFFFF"/>
          <w:lang w:val="en-US"/>
        </w:rPr>
        <w:t>Rini</w:t>
      </w:r>
      <w:proofErr w:type="spellEnd"/>
      <w:r>
        <w:rPr>
          <w:rFonts w:ascii="Times New Roman" w:hAnsi="Times New Roman"/>
          <w:sz w:val="24"/>
          <w:szCs w:val="24"/>
          <w:shd w:val="clear" w:color="auto" w:fill="FFFFFF"/>
          <w:lang w:val="en-US"/>
        </w:rPr>
        <w:t xml:space="preserve"> BI, Wilding G, </w:t>
      </w:r>
      <w:proofErr w:type="spellStart"/>
      <w:r>
        <w:rPr>
          <w:rFonts w:ascii="Times New Roman" w:hAnsi="Times New Roman"/>
          <w:sz w:val="24"/>
          <w:szCs w:val="24"/>
          <w:shd w:val="clear" w:color="auto" w:fill="FFFFFF"/>
          <w:lang w:val="en-US"/>
        </w:rPr>
        <w:t>Hudes</w:t>
      </w:r>
      <w:proofErr w:type="spellEnd"/>
      <w:r>
        <w:rPr>
          <w:rFonts w:ascii="Times New Roman" w:hAnsi="Times New Roman"/>
          <w:sz w:val="24"/>
          <w:szCs w:val="24"/>
          <w:shd w:val="clear" w:color="auto" w:fill="FFFFFF"/>
          <w:lang w:val="en-US"/>
        </w:rPr>
        <w:t xml:space="preserve"> G, et al. Phase II study of </w:t>
      </w:r>
      <w:proofErr w:type="spellStart"/>
      <w:r>
        <w:rPr>
          <w:rFonts w:ascii="Times New Roman" w:hAnsi="Times New Roman"/>
          <w:sz w:val="24"/>
          <w:szCs w:val="24"/>
          <w:shd w:val="clear" w:color="auto" w:fill="FFFFFF"/>
          <w:lang w:val="en-US"/>
        </w:rPr>
        <w:t>axitinib</w:t>
      </w:r>
      <w:proofErr w:type="spellEnd"/>
      <w:r>
        <w:rPr>
          <w:rFonts w:ascii="Times New Roman" w:hAnsi="Times New Roman"/>
          <w:sz w:val="24"/>
          <w:szCs w:val="24"/>
          <w:shd w:val="clear" w:color="auto" w:fill="FFFFFF"/>
          <w:lang w:val="en-US"/>
        </w:rPr>
        <w:t xml:space="preserve"> in </w:t>
      </w:r>
      <w:proofErr w:type="spellStart"/>
      <w:r>
        <w:rPr>
          <w:rFonts w:ascii="Times New Roman" w:hAnsi="Times New Roman"/>
          <w:sz w:val="24"/>
          <w:szCs w:val="24"/>
          <w:shd w:val="clear" w:color="auto" w:fill="FFFFFF"/>
          <w:lang w:val="en-US"/>
        </w:rPr>
        <w:t>sorafenib</w:t>
      </w:r>
      <w:proofErr w:type="spellEnd"/>
      <w:r>
        <w:rPr>
          <w:rFonts w:ascii="Times New Roman" w:hAnsi="Times New Roman"/>
          <w:sz w:val="24"/>
          <w:szCs w:val="24"/>
          <w:shd w:val="clear" w:color="auto" w:fill="FFFFFF"/>
          <w:lang w:val="en-US"/>
        </w:rPr>
        <w:t xml:space="preserve"> refractory metastatic renal cell carcinoma. J </w:t>
      </w:r>
      <w:proofErr w:type="spellStart"/>
      <w:r>
        <w:rPr>
          <w:rFonts w:ascii="Times New Roman" w:hAnsi="Times New Roman"/>
          <w:sz w:val="24"/>
          <w:szCs w:val="24"/>
          <w:shd w:val="clear" w:color="auto" w:fill="FFFFFF"/>
          <w:lang w:val="en-US"/>
        </w:rPr>
        <w:t>Clin</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Oncol</w:t>
      </w:r>
      <w:proofErr w:type="spellEnd"/>
      <w:r>
        <w:rPr>
          <w:rFonts w:ascii="Times New Roman" w:hAnsi="Times New Roman"/>
          <w:sz w:val="24"/>
          <w:szCs w:val="24"/>
          <w:shd w:val="clear" w:color="auto" w:fill="FFFFFF"/>
          <w:lang w:val="en-US"/>
        </w:rPr>
        <w:t>. 2009;</w:t>
      </w:r>
      <w:r w:rsidR="000A6B4C">
        <w:rPr>
          <w:rFonts w:ascii="Times New Roman" w:hAnsi="Times New Roman"/>
          <w:sz w:val="24"/>
          <w:szCs w:val="24"/>
          <w:shd w:val="clear" w:color="auto" w:fill="FFFFFF"/>
          <w:lang w:val="en-US"/>
        </w:rPr>
        <w:t xml:space="preserve"> </w:t>
      </w:r>
      <w:r>
        <w:rPr>
          <w:rFonts w:ascii="Times New Roman" w:hAnsi="Times New Roman"/>
          <w:sz w:val="24"/>
          <w:szCs w:val="24"/>
          <w:shd w:val="clear" w:color="auto" w:fill="FFFFFF"/>
          <w:lang w:val="en-US"/>
        </w:rPr>
        <w:t>27:444-448.</w:t>
      </w:r>
    </w:p>
    <w:p w:rsidR="006163D0" w:rsidRDefault="006163D0">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rPr>
          <w:rFonts w:ascii="Times" w:eastAsia="Times" w:hAnsi="Times" w:cs="Times"/>
          <w:sz w:val="24"/>
          <w:szCs w:val="24"/>
          <w:shd w:val="clear" w:color="auto" w:fill="FFFFFF"/>
        </w:rPr>
      </w:pPr>
    </w:p>
    <w:p w:rsidR="006163D0" w:rsidRDefault="004E6814">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jc w:val="both"/>
        <w:rPr>
          <w:rFonts w:ascii="Times" w:eastAsia="Times" w:hAnsi="Times" w:cs="Times"/>
          <w:sz w:val="24"/>
          <w:szCs w:val="24"/>
          <w:shd w:val="clear" w:color="auto" w:fill="FFFFFF"/>
        </w:rPr>
      </w:pPr>
      <w:r>
        <w:rPr>
          <w:rFonts w:ascii="Times New Roman" w:hAnsi="Times New Roman"/>
          <w:b/>
          <w:bCs/>
          <w:sz w:val="24"/>
          <w:szCs w:val="24"/>
          <w:shd w:val="clear" w:color="auto" w:fill="FFFFFF"/>
        </w:rPr>
        <w:t xml:space="preserve">Kitap: </w:t>
      </w:r>
      <w:r>
        <w:rPr>
          <w:rFonts w:ascii="Times New Roman" w:hAnsi="Times New Roman"/>
          <w:sz w:val="24"/>
          <w:szCs w:val="24"/>
          <w:shd w:val="clear" w:color="auto" w:fill="FFFFFF"/>
        </w:rPr>
        <w:t xml:space="preserve">Yazar soyadı, Yazar adının baş harfi. (Yıl). </w:t>
      </w:r>
      <w:r>
        <w:rPr>
          <w:rFonts w:ascii="Times New Roman" w:hAnsi="Times New Roman"/>
          <w:i/>
          <w:iCs/>
          <w:sz w:val="24"/>
          <w:szCs w:val="24"/>
          <w:shd w:val="clear" w:color="auto" w:fill="FFFFFF"/>
        </w:rPr>
        <w:t>Kitabı</w:t>
      </w:r>
      <w:r>
        <w:rPr>
          <w:rFonts w:ascii="Times New Roman" w:hAnsi="Times New Roman"/>
          <w:i/>
          <w:iCs/>
          <w:sz w:val="24"/>
          <w:szCs w:val="24"/>
          <w:shd w:val="clear" w:color="auto" w:fill="FFFFFF"/>
          <w:lang w:val="en-US"/>
        </w:rPr>
        <w:t>n ad</w:t>
      </w:r>
      <w:r>
        <w:rPr>
          <w:rFonts w:ascii="Times New Roman" w:hAnsi="Times New Roman"/>
          <w:i/>
          <w:iCs/>
          <w:sz w:val="24"/>
          <w:szCs w:val="24"/>
          <w:shd w:val="clear" w:color="auto" w:fill="FFFFFF"/>
        </w:rPr>
        <w:t>ı</w:t>
      </w:r>
      <w:r>
        <w:rPr>
          <w:rFonts w:ascii="Times New Roman" w:hAnsi="Times New Roman"/>
          <w:sz w:val="24"/>
          <w:szCs w:val="24"/>
          <w:shd w:val="clear" w:color="auto" w:fill="FFFFFF"/>
          <w:lang w:val="fr-FR"/>
        </w:rPr>
        <w:t>. (</w:t>
      </w:r>
      <w:proofErr w:type="spellStart"/>
      <w:r>
        <w:rPr>
          <w:rFonts w:ascii="Times New Roman" w:hAnsi="Times New Roman"/>
          <w:sz w:val="24"/>
          <w:szCs w:val="24"/>
          <w:shd w:val="clear" w:color="auto" w:fill="FFFFFF"/>
          <w:lang w:val="fr-FR"/>
        </w:rPr>
        <w:t>Bask</w:t>
      </w:r>
      <w:proofErr w:type="spellEnd"/>
      <w:r>
        <w:rPr>
          <w:rFonts w:ascii="Times New Roman" w:hAnsi="Times New Roman"/>
          <w:sz w:val="24"/>
          <w:szCs w:val="24"/>
          <w:shd w:val="clear" w:color="auto" w:fill="FFFFFF"/>
        </w:rPr>
        <w:t>ı sayısı). Basım Yeri: Yayı</w:t>
      </w:r>
      <w:r>
        <w:rPr>
          <w:rFonts w:ascii="Times New Roman" w:hAnsi="Times New Roman"/>
          <w:sz w:val="24"/>
          <w:szCs w:val="24"/>
          <w:shd w:val="clear" w:color="auto" w:fill="FFFFFF"/>
          <w:lang w:val="de-DE"/>
        </w:rPr>
        <w:t>n Evi</w:t>
      </w:r>
    </w:p>
    <w:p w:rsidR="006163D0" w:rsidRDefault="006163D0">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rPr>
          <w:rFonts w:ascii="Times" w:eastAsia="Times" w:hAnsi="Times" w:cs="Times"/>
          <w:sz w:val="24"/>
          <w:szCs w:val="24"/>
          <w:shd w:val="clear" w:color="auto" w:fill="FFFFFF"/>
        </w:rPr>
      </w:pPr>
    </w:p>
    <w:p w:rsidR="006163D0" w:rsidRDefault="004E6814">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jc w:val="both"/>
        <w:rPr>
          <w:rFonts w:ascii="Times" w:eastAsia="Times" w:hAnsi="Times" w:cs="Times"/>
          <w:sz w:val="24"/>
          <w:szCs w:val="24"/>
          <w:shd w:val="clear" w:color="auto" w:fill="FFFFFF"/>
        </w:rPr>
      </w:pPr>
      <w:r>
        <w:rPr>
          <w:rFonts w:ascii="Times New Roman" w:hAnsi="Times New Roman"/>
          <w:sz w:val="24"/>
          <w:szCs w:val="24"/>
          <w:shd w:val="clear" w:color="auto" w:fill="FFFFFF"/>
        </w:rPr>
        <w:t>Nal, M. (2018</w:t>
      </w:r>
      <w:r>
        <w:rPr>
          <w:rFonts w:ascii="Times New Roman" w:hAnsi="Times New Roman"/>
          <w:i/>
          <w:iCs/>
          <w:sz w:val="24"/>
          <w:szCs w:val="24"/>
          <w:shd w:val="clear" w:color="auto" w:fill="FFFFFF"/>
        </w:rPr>
        <w:t>). Hastanelerde acil yardım ve afet y</w:t>
      </w:r>
      <w:r>
        <w:rPr>
          <w:rFonts w:ascii="Times New Roman" w:hAnsi="Times New Roman"/>
          <w:i/>
          <w:iCs/>
          <w:sz w:val="24"/>
          <w:szCs w:val="24"/>
          <w:shd w:val="clear" w:color="auto" w:fill="FFFFFF"/>
          <w:lang w:val="sv-SE"/>
        </w:rPr>
        <w:t>ö</w:t>
      </w:r>
      <w:r>
        <w:rPr>
          <w:rFonts w:ascii="Times New Roman" w:hAnsi="Times New Roman"/>
          <w:i/>
          <w:iCs/>
          <w:sz w:val="24"/>
          <w:szCs w:val="24"/>
          <w:shd w:val="clear" w:color="auto" w:fill="FFFFFF"/>
        </w:rPr>
        <w:t xml:space="preserve">netimi. </w:t>
      </w:r>
      <w:r>
        <w:rPr>
          <w:rFonts w:ascii="Times New Roman" w:hAnsi="Times New Roman"/>
          <w:sz w:val="24"/>
          <w:szCs w:val="24"/>
          <w:shd w:val="clear" w:color="auto" w:fill="FFFFFF"/>
        </w:rPr>
        <w:t>Ankara: Akademisyen Kitabevi</w:t>
      </w:r>
    </w:p>
    <w:p w:rsidR="006163D0" w:rsidRDefault="006163D0">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rPr>
          <w:rFonts w:ascii="Times" w:eastAsia="Times" w:hAnsi="Times" w:cs="Times"/>
          <w:sz w:val="24"/>
          <w:szCs w:val="24"/>
          <w:shd w:val="clear" w:color="auto" w:fill="FFFFFF"/>
        </w:rPr>
      </w:pPr>
    </w:p>
    <w:p w:rsidR="006163D0" w:rsidRDefault="004E6814">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jc w:val="both"/>
        <w:rPr>
          <w:rFonts w:ascii="Times" w:eastAsia="Times" w:hAnsi="Times" w:cs="Times"/>
          <w:sz w:val="24"/>
          <w:szCs w:val="24"/>
          <w:shd w:val="clear" w:color="auto" w:fill="FFFFFF"/>
        </w:rPr>
      </w:pPr>
      <w:r>
        <w:rPr>
          <w:rFonts w:ascii="Times New Roman" w:hAnsi="Times New Roman"/>
          <w:sz w:val="24"/>
          <w:szCs w:val="24"/>
          <w:shd w:val="clear" w:color="auto" w:fill="FFFFFF"/>
        </w:rPr>
        <w:t xml:space="preserve">Kline, B. R. (2005). </w:t>
      </w:r>
      <w:r>
        <w:rPr>
          <w:rFonts w:ascii="Times New Roman" w:hAnsi="Times New Roman"/>
          <w:i/>
          <w:iCs/>
          <w:sz w:val="24"/>
          <w:szCs w:val="24"/>
          <w:shd w:val="clear" w:color="auto" w:fill="FFFFFF"/>
          <w:lang w:val="en-US"/>
        </w:rPr>
        <w:t>Principles and practice of structural equation modeling</w:t>
      </w:r>
      <w:r>
        <w:rPr>
          <w:rFonts w:ascii="Times New Roman" w:hAnsi="Times New Roman"/>
          <w:sz w:val="24"/>
          <w:szCs w:val="24"/>
          <w:shd w:val="clear" w:color="auto" w:fill="FFFFFF"/>
          <w:lang w:val="en-US"/>
        </w:rPr>
        <w:t xml:space="preserve"> (Second edit). NY: The Guilford Press.</w:t>
      </w:r>
    </w:p>
    <w:p w:rsidR="006163D0" w:rsidRDefault="006163D0">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rPr>
          <w:rFonts w:ascii="Times" w:eastAsia="Times" w:hAnsi="Times" w:cs="Times"/>
          <w:sz w:val="24"/>
          <w:szCs w:val="24"/>
          <w:shd w:val="clear" w:color="auto" w:fill="FFFFFF"/>
        </w:rPr>
      </w:pPr>
    </w:p>
    <w:p w:rsidR="006163D0" w:rsidRDefault="004E6814">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jc w:val="both"/>
        <w:rPr>
          <w:rFonts w:ascii="Times" w:eastAsia="Times" w:hAnsi="Times" w:cs="Times"/>
          <w:sz w:val="24"/>
          <w:szCs w:val="24"/>
          <w:shd w:val="clear" w:color="auto" w:fill="FFFFFF"/>
        </w:rPr>
      </w:pPr>
      <w:r>
        <w:rPr>
          <w:rFonts w:ascii="Times New Roman" w:hAnsi="Times New Roman"/>
          <w:b/>
          <w:bCs/>
          <w:sz w:val="24"/>
          <w:szCs w:val="24"/>
          <w:shd w:val="clear" w:color="auto" w:fill="FFFFFF"/>
        </w:rPr>
        <w:t>Kitap b</w:t>
      </w:r>
      <w:r>
        <w:rPr>
          <w:rFonts w:ascii="Times New Roman" w:hAnsi="Times New Roman"/>
          <w:b/>
          <w:bCs/>
          <w:sz w:val="24"/>
          <w:szCs w:val="24"/>
          <w:shd w:val="clear" w:color="auto" w:fill="FFFFFF"/>
          <w:lang w:val="sv-SE"/>
        </w:rPr>
        <w:t>ö</w:t>
      </w:r>
      <w:r>
        <w:rPr>
          <w:rFonts w:ascii="Times New Roman" w:hAnsi="Times New Roman"/>
          <w:b/>
          <w:bCs/>
          <w:sz w:val="24"/>
          <w:szCs w:val="24"/>
          <w:shd w:val="clear" w:color="auto" w:fill="FFFFFF"/>
        </w:rPr>
        <w:t xml:space="preserve">lümü: </w:t>
      </w:r>
      <w:r>
        <w:rPr>
          <w:rFonts w:ascii="Times New Roman" w:hAnsi="Times New Roman"/>
          <w:sz w:val="24"/>
          <w:szCs w:val="24"/>
          <w:shd w:val="clear" w:color="auto" w:fill="FFFFFF"/>
        </w:rPr>
        <w:t>Yazar soyadı, Yazar adının baş harfi. (Yıl). B</w:t>
      </w:r>
      <w:r>
        <w:rPr>
          <w:rFonts w:ascii="Times New Roman" w:hAnsi="Times New Roman"/>
          <w:sz w:val="24"/>
          <w:szCs w:val="24"/>
          <w:shd w:val="clear" w:color="auto" w:fill="FFFFFF"/>
          <w:lang w:val="sv-SE"/>
        </w:rPr>
        <w:t>ö</w:t>
      </w:r>
      <w:r>
        <w:rPr>
          <w:rFonts w:ascii="Times New Roman" w:hAnsi="Times New Roman"/>
          <w:sz w:val="24"/>
          <w:szCs w:val="24"/>
          <w:shd w:val="clear" w:color="auto" w:fill="FFFFFF"/>
        </w:rPr>
        <w:t>lü</w:t>
      </w:r>
      <w:r>
        <w:rPr>
          <w:rFonts w:ascii="Times New Roman" w:hAnsi="Times New Roman"/>
          <w:sz w:val="24"/>
          <w:szCs w:val="24"/>
          <w:shd w:val="clear" w:color="auto" w:fill="FFFFFF"/>
          <w:lang w:val="pt-PT"/>
        </w:rPr>
        <w:t>m ad</w:t>
      </w:r>
      <w:r>
        <w:rPr>
          <w:rFonts w:ascii="Times New Roman" w:hAnsi="Times New Roman"/>
          <w:sz w:val="24"/>
          <w:szCs w:val="24"/>
          <w:shd w:val="clear" w:color="auto" w:fill="FFFFFF"/>
        </w:rPr>
        <w:t>ı. Edit</w:t>
      </w:r>
      <w:r>
        <w:rPr>
          <w:rFonts w:ascii="Times New Roman" w:hAnsi="Times New Roman"/>
          <w:sz w:val="24"/>
          <w:szCs w:val="24"/>
          <w:shd w:val="clear" w:color="auto" w:fill="FFFFFF"/>
          <w:lang w:val="sv-SE"/>
        </w:rPr>
        <w:t>ö</w:t>
      </w:r>
      <w:r>
        <w:rPr>
          <w:rFonts w:ascii="Times New Roman" w:hAnsi="Times New Roman"/>
          <w:sz w:val="24"/>
          <w:szCs w:val="24"/>
          <w:shd w:val="clear" w:color="auto" w:fill="FFFFFF"/>
        </w:rPr>
        <w:t xml:space="preserve">rün Adı Soyadı (Ed.), </w:t>
      </w:r>
      <w:r>
        <w:rPr>
          <w:rFonts w:ascii="Times New Roman" w:hAnsi="Times New Roman"/>
          <w:i/>
          <w:iCs/>
          <w:sz w:val="24"/>
          <w:szCs w:val="24"/>
          <w:shd w:val="clear" w:color="auto" w:fill="FFFFFF"/>
        </w:rPr>
        <w:t xml:space="preserve">Kitap adı </w:t>
      </w:r>
      <w:r>
        <w:rPr>
          <w:rFonts w:ascii="Times New Roman" w:hAnsi="Times New Roman"/>
          <w:sz w:val="24"/>
          <w:szCs w:val="24"/>
          <w:shd w:val="clear" w:color="auto" w:fill="FFFFFF"/>
        </w:rPr>
        <w:t>i</w:t>
      </w:r>
      <w:r>
        <w:rPr>
          <w:rFonts w:ascii="Times New Roman" w:hAnsi="Times New Roman"/>
          <w:sz w:val="24"/>
          <w:szCs w:val="24"/>
          <w:shd w:val="clear" w:color="auto" w:fill="FFFFFF"/>
          <w:lang w:val="pt-PT"/>
        </w:rPr>
        <w:t>ç</w:t>
      </w:r>
      <w:r>
        <w:rPr>
          <w:rFonts w:ascii="Times New Roman" w:hAnsi="Times New Roman"/>
          <w:sz w:val="24"/>
          <w:szCs w:val="24"/>
          <w:shd w:val="clear" w:color="auto" w:fill="FFFFFF"/>
        </w:rPr>
        <w:t>inde (sayfa aralığı).  Basım Yeri: Yayı</w:t>
      </w:r>
      <w:r>
        <w:rPr>
          <w:rFonts w:ascii="Times New Roman" w:hAnsi="Times New Roman"/>
          <w:sz w:val="24"/>
          <w:szCs w:val="24"/>
          <w:shd w:val="clear" w:color="auto" w:fill="FFFFFF"/>
          <w:lang w:val="de-DE"/>
        </w:rPr>
        <w:t>n Evi</w:t>
      </w:r>
    </w:p>
    <w:p w:rsidR="006163D0" w:rsidRDefault="006163D0">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rPr>
          <w:rFonts w:ascii="Times" w:eastAsia="Times" w:hAnsi="Times" w:cs="Times"/>
          <w:sz w:val="24"/>
          <w:szCs w:val="24"/>
          <w:shd w:val="clear" w:color="auto" w:fill="FFFFFF"/>
        </w:rPr>
      </w:pPr>
    </w:p>
    <w:p w:rsidR="006163D0" w:rsidRDefault="004E6814">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jc w:val="both"/>
        <w:rPr>
          <w:rFonts w:ascii="Times" w:eastAsia="Times" w:hAnsi="Times" w:cs="Times"/>
          <w:sz w:val="24"/>
          <w:szCs w:val="24"/>
          <w:shd w:val="clear" w:color="auto" w:fill="FFFFFF"/>
        </w:rPr>
      </w:pPr>
      <w:proofErr w:type="spellStart"/>
      <w:r>
        <w:rPr>
          <w:rFonts w:ascii="Times New Roman" w:hAnsi="Times New Roman"/>
          <w:sz w:val="24"/>
          <w:szCs w:val="24"/>
          <w:shd w:val="clear" w:color="auto" w:fill="FFFFFF"/>
          <w:lang w:val="en-US"/>
        </w:rPr>
        <w:t>Suldo</w:t>
      </w:r>
      <w:proofErr w:type="spellEnd"/>
      <w:r>
        <w:rPr>
          <w:rFonts w:ascii="Times New Roman" w:hAnsi="Times New Roman"/>
          <w:sz w:val="24"/>
          <w:szCs w:val="24"/>
          <w:shd w:val="clear" w:color="auto" w:fill="FFFFFF"/>
          <w:lang w:val="en-US"/>
        </w:rPr>
        <w:t xml:space="preserve">, S. M., Bateman, L., &amp; </w:t>
      </w:r>
      <w:proofErr w:type="spellStart"/>
      <w:r>
        <w:rPr>
          <w:rFonts w:ascii="Times New Roman" w:hAnsi="Times New Roman"/>
          <w:sz w:val="24"/>
          <w:szCs w:val="24"/>
          <w:shd w:val="clear" w:color="auto" w:fill="FFFFFF"/>
          <w:lang w:val="en-US"/>
        </w:rPr>
        <w:t>Gelly</w:t>
      </w:r>
      <w:proofErr w:type="spellEnd"/>
      <w:r>
        <w:rPr>
          <w:rFonts w:ascii="Times New Roman" w:hAnsi="Times New Roman"/>
          <w:sz w:val="24"/>
          <w:szCs w:val="24"/>
          <w:shd w:val="clear" w:color="auto" w:fill="FFFFFF"/>
          <w:lang w:val="en-US"/>
        </w:rPr>
        <w:t xml:space="preserve">, C. D. (2014). Understanding and promoting school satisfaction in adolescence. In M. J. Furlong, R. Gilman, E. S., &amp; Huebner (Eds.), </w:t>
      </w:r>
      <w:r>
        <w:rPr>
          <w:rFonts w:ascii="Times New Roman" w:hAnsi="Times New Roman"/>
          <w:i/>
          <w:iCs/>
          <w:sz w:val="24"/>
          <w:szCs w:val="24"/>
          <w:shd w:val="clear" w:color="auto" w:fill="FFFFFF"/>
          <w:lang w:val="en-US"/>
        </w:rPr>
        <w:t>Handbook of positive psychology in schools</w:t>
      </w:r>
      <w:r>
        <w:rPr>
          <w:rFonts w:ascii="Times New Roman" w:hAnsi="Times New Roman"/>
          <w:sz w:val="24"/>
          <w:szCs w:val="24"/>
          <w:shd w:val="clear" w:color="auto" w:fill="FFFFFF"/>
        </w:rPr>
        <w:t xml:space="preserve"> (2</w:t>
      </w:r>
      <w:r>
        <w:rPr>
          <w:rFonts w:ascii="Times New Roman" w:hAnsi="Times New Roman"/>
          <w:sz w:val="24"/>
          <w:szCs w:val="24"/>
          <w:shd w:val="clear" w:color="auto" w:fill="FFFFFF"/>
          <w:vertAlign w:val="superscript"/>
        </w:rPr>
        <w:t>nd</w:t>
      </w:r>
      <w:r>
        <w:rPr>
          <w:rFonts w:ascii="Times New Roman" w:hAnsi="Times New Roman"/>
          <w:sz w:val="24"/>
          <w:szCs w:val="24"/>
          <w:shd w:val="clear" w:color="auto" w:fill="FFFFFF"/>
        </w:rPr>
        <w:t xml:space="preserve"> ed., pp. 365–</w:t>
      </w:r>
      <w:r>
        <w:rPr>
          <w:rFonts w:ascii="Times New Roman" w:hAnsi="Times New Roman"/>
          <w:sz w:val="24"/>
          <w:szCs w:val="24"/>
          <w:shd w:val="clear" w:color="auto" w:fill="FFFFFF"/>
          <w:lang w:val="en-US"/>
        </w:rPr>
        <w:t>380). New York: Routledge.</w:t>
      </w:r>
    </w:p>
    <w:p w:rsidR="006163D0" w:rsidRDefault="006163D0">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rPr>
          <w:rFonts w:ascii="Times" w:eastAsia="Times" w:hAnsi="Times" w:cs="Times"/>
          <w:sz w:val="24"/>
          <w:szCs w:val="24"/>
          <w:shd w:val="clear" w:color="auto" w:fill="FFFFFF"/>
        </w:rPr>
      </w:pPr>
    </w:p>
    <w:p w:rsidR="006163D0" w:rsidRDefault="004E6814">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jc w:val="both"/>
        <w:rPr>
          <w:rFonts w:ascii="Times" w:eastAsia="Times" w:hAnsi="Times" w:cs="Times"/>
          <w:sz w:val="24"/>
          <w:szCs w:val="24"/>
          <w:shd w:val="clear" w:color="auto" w:fill="FFFFFF"/>
        </w:rPr>
      </w:pPr>
      <w:r>
        <w:rPr>
          <w:rFonts w:ascii="Times New Roman" w:hAnsi="Times New Roman"/>
          <w:b/>
          <w:bCs/>
          <w:sz w:val="24"/>
          <w:szCs w:val="24"/>
          <w:shd w:val="clear" w:color="auto" w:fill="FFFFFF"/>
        </w:rPr>
        <w:t xml:space="preserve">Çeviri Kitap: </w:t>
      </w:r>
      <w:r>
        <w:rPr>
          <w:rFonts w:ascii="Times New Roman" w:hAnsi="Times New Roman"/>
          <w:sz w:val="24"/>
          <w:szCs w:val="24"/>
          <w:shd w:val="clear" w:color="auto" w:fill="FFFFFF"/>
        </w:rPr>
        <w:t xml:space="preserve">Yazar soyadı, Yazar adının baş harfi. (Yıl). </w:t>
      </w:r>
      <w:r>
        <w:rPr>
          <w:rFonts w:ascii="Times New Roman" w:hAnsi="Times New Roman"/>
          <w:i/>
          <w:iCs/>
          <w:sz w:val="24"/>
          <w:szCs w:val="24"/>
          <w:shd w:val="clear" w:color="auto" w:fill="FFFFFF"/>
        </w:rPr>
        <w:t>Kitabı</w:t>
      </w:r>
      <w:r>
        <w:rPr>
          <w:rFonts w:ascii="Times New Roman" w:hAnsi="Times New Roman"/>
          <w:i/>
          <w:iCs/>
          <w:sz w:val="24"/>
          <w:szCs w:val="24"/>
          <w:shd w:val="clear" w:color="auto" w:fill="FFFFFF"/>
          <w:lang w:val="en-US"/>
        </w:rPr>
        <w:t>n ad</w:t>
      </w:r>
      <w:r>
        <w:rPr>
          <w:rFonts w:ascii="Times New Roman" w:hAnsi="Times New Roman"/>
          <w:i/>
          <w:iCs/>
          <w:sz w:val="24"/>
          <w:szCs w:val="24"/>
          <w:shd w:val="clear" w:color="auto" w:fill="FFFFFF"/>
        </w:rPr>
        <w:t>ı.</w:t>
      </w:r>
      <w:r>
        <w:rPr>
          <w:rFonts w:ascii="Times New Roman" w:hAnsi="Times New Roman"/>
          <w:sz w:val="24"/>
          <w:szCs w:val="24"/>
          <w:shd w:val="clear" w:color="auto" w:fill="FFFFFF"/>
        </w:rPr>
        <w:t xml:space="preserve"> (Çeviri edit</w:t>
      </w:r>
      <w:r>
        <w:rPr>
          <w:rFonts w:ascii="Times New Roman" w:hAnsi="Times New Roman"/>
          <w:sz w:val="24"/>
          <w:szCs w:val="24"/>
          <w:shd w:val="clear" w:color="auto" w:fill="FFFFFF"/>
          <w:lang w:val="sv-SE"/>
        </w:rPr>
        <w:t>ö</w:t>
      </w:r>
      <w:r>
        <w:rPr>
          <w:rFonts w:ascii="Times New Roman" w:hAnsi="Times New Roman"/>
          <w:sz w:val="24"/>
          <w:szCs w:val="24"/>
          <w:shd w:val="clear" w:color="auto" w:fill="FFFFFF"/>
        </w:rPr>
        <w:t>rünü</w:t>
      </w:r>
      <w:r>
        <w:rPr>
          <w:rFonts w:ascii="Times New Roman" w:hAnsi="Times New Roman"/>
          <w:sz w:val="24"/>
          <w:szCs w:val="24"/>
          <w:shd w:val="clear" w:color="auto" w:fill="FFFFFF"/>
          <w:lang w:val="en-US"/>
        </w:rPr>
        <w:t>n ad</w:t>
      </w:r>
      <w:r>
        <w:rPr>
          <w:rFonts w:ascii="Times New Roman" w:hAnsi="Times New Roman"/>
          <w:sz w:val="24"/>
          <w:szCs w:val="24"/>
          <w:shd w:val="clear" w:color="auto" w:fill="FFFFFF"/>
        </w:rPr>
        <w:t>ı soyadı, Çev. Ed.).  Basım Yeri: Yayı</w:t>
      </w:r>
      <w:r>
        <w:rPr>
          <w:rFonts w:ascii="Times New Roman" w:hAnsi="Times New Roman"/>
          <w:sz w:val="24"/>
          <w:szCs w:val="24"/>
          <w:shd w:val="clear" w:color="auto" w:fill="FFFFFF"/>
          <w:lang w:val="de-DE"/>
        </w:rPr>
        <w:t>n Evi</w:t>
      </w:r>
    </w:p>
    <w:p w:rsidR="006163D0" w:rsidRDefault="006163D0">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rPr>
          <w:rFonts w:ascii="Times" w:eastAsia="Times" w:hAnsi="Times" w:cs="Times"/>
          <w:sz w:val="24"/>
          <w:szCs w:val="24"/>
          <w:shd w:val="clear" w:color="auto" w:fill="FFFFFF"/>
        </w:rPr>
      </w:pPr>
    </w:p>
    <w:p w:rsidR="006163D0" w:rsidRDefault="004E6814">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jc w:val="both"/>
        <w:rPr>
          <w:rFonts w:ascii="Times" w:eastAsia="Times" w:hAnsi="Times" w:cs="Times"/>
          <w:sz w:val="24"/>
          <w:szCs w:val="24"/>
          <w:shd w:val="clear" w:color="auto" w:fill="FFFFFF"/>
        </w:rPr>
      </w:pPr>
      <w:r>
        <w:rPr>
          <w:rFonts w:ascii="Times New Roman" w:hAnsi="Times New Roman"/>
          <w:sz w:val="24"/>
          <w:szCs w:val="24"/>
          <w:shd w:val="clear" w:color="auto" w:fill="FFFFFF"/>
          <w:lang w:val="en-US"/>
        </w:rPr>
        <w:t xml:space="preserve">Branch, A. E. &amp; Robarts, M. (2015). </w:t>
      </w:r>
      <w:r>
        <w:rPr>
          <w:rFonts w:ascii="Times New Roman" w:hAnsi="Times New Roman"/>
          <w:i/>
          <w:iCs/>
          <w:sz w:val="24"/>
          <w:szCs w:val="24"/>
          <w:shd w:val="clear" w:color="auto" w:fill="FFFFFF"/>
        </w:rPr>
        <w:t>Deniz Taşı</w:t>
      </w:r>
      <w:proofErr w:type="spellStart"/>
      <w:r>
        <w:rPr>
          <w:rFonts w:ascii="Times New Roman" w:hAnsi="Times New Roman"/>
          <w:i/>
          <w:iCs/>
          <w:sz w:val="24"/>
          <w:szCs w:val="24"/>
          <w:shd w:val="clear" w:color="auto" w:fill="FFFFFF"/>
          <w:lang w:val="de-DE"/>
        </w:rPr>
        <w:t>mac</w:t>
      </w:r>
      <w:proofErr w:type="spellEnd"/>
      <w:r>
        <w:rPr>
          <w:rFonts w:ascii="Times New Roman" w:hAnsi="Times New Roman"/>
          <w:i/>
          <w:iCs/>
          <w:sz w:val="24"/>
          <w:szCs w:val="24"/>
          <w:shd w:val="clear" w:color="auto" w:fill="FFFFFF"/>
        </w:rPr>
        <w:t>ılığının Temel Unsurları</w:t>
      </w:r>
      <w:r>
        <w:rPr>
          <w:rFonts w:ascii="Times New Roman" w:hAnsi="Times New Roman"/>
          <w:sz w:val="24"/>
          <w:szCs w:val="24"/>
          <w:shd w:val="clear" w:color="auto" w:fill="FFFFFF"/>
          <w:lang w:val="de-DE"/>
        </w:rPr>
        <w:t xml:space="preserve">. (Soner ESMER, </w:t>
      </w:r>
      <w:r>
        <w:rPr>
          <w:rFonts w:ascii="Times New Roman" w:hAnsi="Times New Roman"/>
          <w:sz w:val="24"/>
          <w:szCs w:val="24"/>
          <w:shd w:val="clear" w:color="auto" w:fill="FFFFFF"/>
        </w:rPr>
        <w:t>Çev. Ed.). Ankara: Akademisyen Kitabevi</w:t>
      </w:r>
    </w:p>
    <w:p w:rsidR="006163D0" w:rsidRDefault="006163D0">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rPr>
          <w:rFonts w:ascii="Times" w:eastAsia="Times" w:hAnsi="Times" w:cs="Times"/>
          <w:sz w:val="24"/>
          <w:szCs w:val="24"/>
          <w:shd w:val="clear" w:color="auto" w:fill="FFFFFF"/>
        </w:rPr>
      </w:pPr>
    </w:p>
    <w:p w:rsidR="006163D0" w:rsidRDefault="004E6814">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jc w:val="both"/>
        <w:rPr>
          <w:rFonts w:ascii="Times" w:eastAsia="Times" w:hAnsi="Times" w:cs="Times"/>
          <w:sz w:val="24"/>
          <w:szCs w:val="24"/>
          <w:shd w:val="clear" w:color="auto" w:fill="FFFFFF"/>
        </w:rPr>
      </w:pPr>
      <w:r>
        <w:rPr>
          <w:rFonts w:ascii="Times New Roman" w:hAnsi="Times New Roman"/>
          <w:b/>
          <w:bCs/>
          <w:sz w:val="24"/>
          <w:szCs w:val="24"/>
          <w:shd w:val="clear" w:color="auto" w:fill="FFFFFF"/>
        </w:rPr>
        <w:t xml:space="preserve">Bildiri: </w:t>
      </w:r>
      <w:r>
        <w:rPr>
          <w:rFonts w:ascii="Times New Roman" w:hAnsi="Times New Roman"/>
          <w:sz w:val="24"/>
          <w:szCs w:val="24"/>
          <w:shd w:val="clear" w:color="auto" w:fill="FFFFFF"/>
        </w:rPr>
        <w:t xml:space="preserve">Yazar soyadı, Yazar adının baş harfi. (Yıl). Bildirinin başlığı. </w:t>
      </w:r>
      <w:r>
        <w:rPr>
          <w:rFonts w:ascii="Times New Roman" w:hAnsi="Times New Roman"/>
          <w:i/>
          <w:iCs/>
          <w:sz w:val="24"/>
          <w:szCs w:val="24"/>
          <w:shd w:val="clear" w:color="auto" w:fill="FFFFFF"/>
        </w:rPr>
        <w:t>Bildirinin Sunulduğu Etkinliğ</w:t>
      </w:r>
      <w:r>
        <w:rPr>
          <w:rFonts w:ascii="Times New Roman" w:hAnsi="Times New Roman"/>
          <w:i/>
          <w:iCs/>
          <w:sz w:val="24"/>
          <w:szCs w:val="24"/>
          <w:shd w:val="clear" w:color="auto" w:fill="FFFFFF"/>
          <w:lang w:val="de-DE"/>
        </w:rPr>
        <w:t>in Ad</w:t>
      </w:r>
      <w:r>
        <w:rPr>
          <w:rFonts w:ascii="Times New Roman" w:hAnsi="Times New Roman"/>
          <w:i/>
          <w:iCs/>
          <w:sz w:val="24"/>
          <w:szCs w:val="24"/>
          <w:shd w:val="clear" w:color="auto" w:fill="FFFFFF"/>
        </w:rPr>
        <w:t>ı</w:t>
      </w:r>
      <w:r>
        <w:rPr>
          <w:rFonts w:ascii="Times New Roman" w:hAnsi="Times New Roman"/>
          <w:sz w:val="24"/>
          <w:szCs w:val="24"/>
          <w:shd w:val="clear" w:color="auto" w:fill="FFFFFF"/>
        </w:rPr>
        <w:t>, Tarih, Şehir, sayfa.</w:t>
      </w:r>
      <w:r>
        <w:rPr>
          <w:rFonts w:ascii="Times New Roman" w:hAnsi="Times New Roman"/>
          <w:i/>
          <w:iCs/>
          <w:sz w:val="24"/>
          <w:szCs w:val="24"/>
          <w:shd w:val="clear" w:color="auto" w:fill="FFFFFF"/>
        </w:rPr>
        <w:t xml:space="preserve"> </w:t>
      </w:r>
    </w:p>
    <w:p w:rsidR="006163D0" w:rsidRDefault="006163D0">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rPr>
          <w:rFonts w:ascii="Times" w:eastAsia="Times" w:hAnsi="Times" w:cs="Times"/>
          <w:sz w:val="24"/>
          <w:szCs w:val="24"/>
          <w:shd w:val="clear" w:color="auto" w:fill="FFFFFF"/>
        </w:rPr>
      </w:pPr>
    </w:p>
    <w:p w:rsidR="006163D0" w:rsidRDefault="004E6814">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jc w:val="both"/>
        <w:rPr>
          <w:rFonts w:ascii="Times" w:eastAsia="Times" w:hAnsi="Times" w:cs="Times"/>
          <w:sz w:val="24"/>
          <w:szCs w:val="24"/>
          <w:shd w:val="clear" w:color="auto" w:fill="FFFFFF"/>
        </w:rPr>
      </w:pPr>
      <w:r>
        <w:rPr>
          <w:rFonts w:ascii="Times New Roman" w:hAnsi="Times New Roman"/>
          <w:sz w:val="24"/>
          <w:szCs w:val="24"/>
          <w:shd w:val="clear" w:color="auto" w:fill="FFFFFF"/>
        </w:rPr>
        <w:t>Atik, A., Aslan, F. &amp; Yı</w:t>
      </w:r>
      <w:proofErr w:type="spellStart"/>
      <w:r>
        <w:rPr>
          <w:rFonts w:ascii="Times New Roman" w:hAnsi="Times New Roman"/>
          <w:sz w:val="24"/>
          <w:szCs w:val="24"/>
          <w:shd w:val="clear" w:color="auto" w:fill="FFFFFF"/>
          <w:lang w:val="en-US"/>
        </w:rPr>
        <w:t>lmaz</w:t>
      </w:r>
      <w:proofErr w:type="spellEnd"/>
      <w:r>
        <w:rPr>
          <w:rFonts w:ascii="Times New Roman" w:hAnsi="Times New Roman"/>
          <w:sz w:val="24"/>
          <w:szCs w:val="24"/>
          <w:shd w:val="clear" w:color="auto" w:fill="FFFFFF"/>
          <w:lang w:val="en-US"/>
        </w:rPr>
        <w:t xml:space="preserve">, B. (2016). Determining the relation between lighting and park security with the help of logistic regression analysis. </w:t>
      </w:r>
      <w:r>
        <w:rPr>
          <w:rFonts w:ascii="Times New Roman" w:hAnsi="Times New Roman"/>
          <w:sz w:val="24"/>
          <w:szCs w:val="24"/>
          <w:shd w:val="clear" w:color="auto" w:fill="FFFFFF"/>
        </w:rPr>
        <w:t> </w:t>
      </w:r>
      <w:r>
        <w:rPr>
          <w:rFonts w:ascii="Times New Roman" w:hAnsi="Times New Roman"/>
          <w:i/>
          <w:iCs/>
          <w:sz w:val="24"/>
          <w:szCs w:val="24"/>
          <w:shd w:val="clear" w:color="auto" w:fill="FFFFFF"/>
        </w:rPr>
        <w:t>2</w:t>
      </w:r>
      <w:r>
        <w:rPr>
          <w:rFonts w:ascii="Times New Roman" w:hAnsi="Times New Roman"/>
          <w:i/>
          <w:iCs/>
          <w:sz w:val="24"/>
          <w:szCs w:val="24"/>
          <w:shd w:val="clear" w:color="auto" w:fill="FFFFFF"/>
          <w:vertAlign w:val="superscript"/>
        </w:rPr>
        <w:t>nd</w:t>
      </w:r>
      <w:r>
        <w:rPr>
          <w:rFonts w:ascii="Times New Roman" w:hAnsi="Times New Roman"/>
          <w:i/>
          <w:iCs/>
          <w:sz w:val="24"/>
          <w:szCs w:val="24"/>
          <w:shd w:val="clear" w:color="auto" w:fill="FFFFFF"/>
          <w:lang w:val="en-US"/>
        </w:rPr>
        <w:t xml:space="preserve"> International Conference on Engineering and Natural Sciences (ICENS 2016)</w:t>
      </w:r>
      <w:r>
        <w:rPr>
          <w:rFonts w:ascii="Times New Roman" w:hAnsi="Times New Roman"/>
          <w:sz w:val="24"/>
          <w:szCs w:val="24"/>
          <w:shd w:val="clear" w:color="auto" w:fill="FFFFFF"/>
        </w:rPr>
        <w:t>, 24-28 May 2016, Sarajevo, Bosnia and Herzegovina, (pp. 310-312).</w:t>
      </w:r>
    </w:p>
    <w:p w:rsidR="006163D0" w:rsidRDefault="006163D0">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rPr>
          <w:rFonts w:ascii="Times" w:eastAsia="Times" w:hAnsi="Times" w:cs="Times"/>
          <w:sz w:val="24"/>
          <w:szCs w:val="24"/>
          <w:shd w:val="clear" w:color="auto" w:fill="FFFFFF"/>
        </w:rPr>
      </w:pPr>
    </w:p>
    <w:p w:rsidR="006163D0" w:rsidRDefault="004E6814">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jc w:val="both"/>
        <w:rPr>
          <w:rFonts w:ascii="Times" w:eastAsia="Times" w:hAnsi="Times" w:cs="Times"/>
          <w:sz w:val="24"/>
          <w:szCs w:val="24"/>
          <w:shd w:val="clear" w:color="auto" w:fill="FFFFFF"/>
        </w:rPr>
      </w:pPr>
      <w:r>
        <w:rPr>
          <w:rFonts w:ascii="Times New Roman" w:hAnsi="Times New Roman"/>
          <w:b/>
          <w:bCs/>
          <w:sz w:val="24"/>
          <w:szCs w:val="24"/>
          <w:shd w:val="clear" w:color="auto" w:fill="FFFFFF"/>
        </w:rPr>
        <w:t xml:space="preserve">İnternet kaynağı: </w:t>
      </w:r>
      <w:r>
        <w:rPr>
          <w:rFonts w:ascii="Times New Roman" w:hAnsi="Times New Roman"/>
          <w:sz w:val="24"/>
          <w:szCs w:val="24"/>
          <w:shd w:val="clear" w:color="auto" w:fill="FFFFFF"/>
        </w:rPr>
        <w:t xml:space="preserve">Kaynak (Yıl). </w:t>
      </w:r>
      <w:r>
        <w:rPr>
          <w:rFonts w:ascii="Times New Roman" w:hAnsi="Times New Roman"/>
          <w:i/>
          <w:iCs/>
          <w:sz w:val="24"/>
          <w:szCs w:val="24"/>
          <w:shd w:val="clear" w:color="auto" w:fill="FFFFFF"/>
        </w:rPr>
        <w:t>Yayı</w:t>
      </w:r>
      <w:r>
        <w:rPr>
          <w:rFonts w:ascii="Times New Roman" w:hAnsi="Times New Roman"/>
          <w:i/>
          <w:iCs/>
          <w:sz w:val="24"/>
          <w:szCs w:val="24"/>
          <w:shd w:val="clear" w:color="auto" w:fill="FFFFFF"/>
          <w:lang w:val="en-US"/>
        </w:rPr>
        <w:t>n ad</w:t>
      </w:r>
      <w:r>
        <w:rPr>
          <w:rFonts w:ascii="Times New Roman" w:hAnsi="Times New Roman"/>
          <w:i/>
          <w:iCs/>
          <w:sz w:val="24"/>
          <w:szCs w:val="24"/>
          <w:shd w:val="clear" w:color="auto" w:fill="FFFFFF"/>
        </w:rPr>
        <w:t>ı.</w:t>
      </w:r>
      <w:r>
        <w:rPr>
          <w:rFonts w:ascii="Times New Roman" w:hAnsi="Times New Roman"/>
          <w:sz w:val="24"/>
          <w:szCs w:val="24"/>
          <w:shd w:val="clear" w:color="auto" w:fill="FFFFFF"/>
        </w:rPr>
        <w:t xml:space="preserve"> (İnternetten erişim tarihi ve adresi)</w:t>
      </w:r>
    </w:p>
    <w:p w:rsidR="006163D0" w:rsidRDefault="006163D0">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rPr>
          <w:rFonts w:ascii="Times" w:eastAsia="Times" w:hAnsi="Times" w:cs="Times"/>
          <w:sz w:val="24"/>
          <w:szCs w:val="24"/>
          <w:shd w:val="clear" w:color="auto" w:fill="FFFFFF"/>
        </w:rPr>
      </w:pPr>
    </w:p>
    <w:p w:rsidR="006163D0" w:rsidRDefault="004E6814">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rPr>
          <w:rFonts w:ascii="Times New Roman" w:eastAsia="Times New Roman" w:hAnsi="Times New Roman" w:cs="Times New Roman"/>
          <w:b/>
          <w:bCs/>
          <w:sz w:val="24"/>
          <w:szCs w:val="24"/>
          <w:shd w:val="clear" w:color="auto" w:fill="FFFFFF"/>
        </w:rPr>
      </w:pPr>
      <w:r>
        <w:rPr>
          <w:rFonts w:ascii="Times New Roman" w:hAnsi="Times New Roman"/>
          <w:sz w:val="24"/>
          <w:szCs w:val="24"/>
          <w:shd w:val="clear" w:color="auto" w:fill="FFFFFF"/>
        </w:rPr>
        <w:t xml:space="preserve">TÜİK (2014). </w:t>
      </w:r>
      <w:proofErr w:type="spellStart"/>
      <w:r>
        <w:rPr>
          <w:rFonts w:ascii="Times New Roman" w:hAnsi="Times New Roman"/>
          <w:i/>
          <w:iCs/>
          <w:sz w:val="24"/>
          <w:szCs w:val="24"/>
          <w:shd w:val="clear" w:color="auto" w:fill="FFFFFF"/>
          <w:lang w:val="de-DE"/>
        </w:rPr>
        <w:t>Hanehalk</w:t>
      </w:r>
      <w:proofErr w:type="spellEnd"/>
      <w:r>
        <w:rPr>
          <w:rFonts w:ascii="Times New Roman" w:hAnsi="Times New Roman"/>
          <w:i/>
          <w:iCs/>
          <w:sz w:val="24"/>
          <w:szCs w:val="24"/>
          <w:shd w:val="clear" w:color="auto" w:fill="FFFFFF"/>
        </w:rPr>
        <w:t>ı bilişim teknolojileri kullanım araştırması 2014</w:t>
      </w:r>
      <w:r>
        <w:rPr>
          <w:rFonts w:ascii="Times New Roman" w:hAnsi="Times New Roman"/>
          <w:sz w:val="24"/>
          <w:szCs w:val="24"/>
          <w:shd w:val="clear" w:color="auto" w:fill="FFFFFF"/>
        </w:rPr>
        <w:t xml:space="preserve">. </w:t>
      </w:r>
      <w:r w:rsidR="00077A12">
        <w:rPr>
          <w:rFonts w:ascii="Times New Roman" w:hAnsi="Times New Roman"/>
          <w:sz w:val="24"/>
          <w:szCs w:val="24"/>
          <w:shd w:val="clear" w:color="auto" w:fill="FFFFFF"/>
        </w:rPr>
        <w:t xml:space="preserve">Erişim: </w:t>
      </w:r>
      <w:r>
        <w:rPr>
          <w:rFonts w:ascii="Times New Roman" w:hAnsi="Times New Roman"/>
          <w:sz w:val="24"/>
          <w:szCs w:val="24"/>
          <w:shd w:val="clear" w:color="auto" w:fill="FFFFFF"/>
        </w:rPr>
        <w:t xml:space="preserve">16/06/2015 </w:t>
      </w:r>
      <w:r w:rsidR="00077A12">
        <w:rPr>
          <w:rFonts w:ascii="Times New Roman" w:hAnsi="Times New Roman"/>
          <w:sz w:val="24"/>
          <w:szCs w:val="24"/>
          <w:shd w:val="clear" w:color="auto" w:fill="FFFFFF"/>
        </w:rPr>
        <w:t xml:space="preserve">İnternet: </w:t>
      </w:r>
      <w:r>
        <w:rPr>
          <w:rFonts w:ascii="Times New Roman" w:hAnsi="Times New Roman"/>
          <w:sz w:val="24"/>
          <w:szCs w:val="24"/>
          <w:shd w:val="clear" w:color="auto" w:fill="FFFFFF"/>
        </w:rPr>
        <w:t xml:space="preserve">http://tuik.gov.tr/PreHaberBultenleri.do?id=16198. </w:t>
      </w:r>
    </w:p>
    <w:sectPr w:rsidR="006163D0">
      <w:headerReference w:type="default" r:id="rId7"/>
      <w:footerReference w:type="default" r:id="rId8"/>
      <w:pgSz w:w="11900" w:h="16840"/>
      <w:pgMar w:top="1417" w:right="1417" w:bottom="1417" w:left="141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188" w:rsidRDefault="00581188">
      <w:r>
        <w:separator/>
      </w:r>
    </w:p>
  </w:endnote>
  <w:endnote w:type="continuationSeparator" w:id="0">
    <w:p w:rsidR="00581188" w:rsidRDefault="00581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Times">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3D0" w:rsidRDefault="004E6814">
    <w:pPr>
      <w:pStyle w:val="Altbilgi"/>
      <w:tabs>
        <w:tab w:val="clear" w:pos="9072"/>
        <w:tab w:val="right" w:pos="9046"/>
      </w:tabs>
      <w:jc w:val="right"/>
    </w:pPr>
    <w:r>
      <w:fldChar w:fldCharType="begin"/>
    </w:r>
    <w:r>
      <w:instrText xml:space="preserve"> PAGE </w:instrText>
    </w:r>
    <w:r>
      <w:fldChar w:fldCharType="separate"/>
    </w:r>
    <w:r w:rsidR="009E0B2E">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188" w:rsidRDefault="00581188">
      <w:r>
        <w:separator/>
      </w:r>
    </w:p>
  </w:footnote>
  <w:footnote w:type="continuationSeparator" w:id="0">
    <w:p w:rsidR="00581188" w:rsidRDefault="005811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3D0" w:rsidRDefault="006163D0">
    <w:pPr>
      <w:pStyle w:val="BalkveAltl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D36B8"/>
    <w:multiLevelType w:val="hybridMultilevel"/>
    <w:tmpl w:val="B9769AEA"/>
    <w:styleLink w:val="eAktarlan1Stili"/>
    <w:lvl w:ilvl="0" w:tplc="7646D93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A7428B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FF2AB3E">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58ABBA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28B39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E624642">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9A01EC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930836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B285112">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E302A3B"/>
    <w:multiLevelType w:val="hybridMultilevel"/>
    <w:tmpl w:val="B9769AEA"/>
    <w:numStyleLink w:val="eAktarlan1Stili"/>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3D0"/>
    <w:rsid w:val="00077A12"/>
    <w:rsid w:val="000A6B4C"/>
    <w:rsid w:val="002C7205"/>
    <w:rsid w:val="004E6814"/>
    <w:rsid w:val="00581188"/>
    <w:rsid w:val="005B5D21"/>
    <w:rsid w:val="005F413E"/>
    <w:rsid w:val="006163D0"/>
    <w:rsid w:val="009B481F"/>
    <w:rsid w:val="009D07CE"/>
    <w:rsid w:val="009E0B2E"/>
    <w:rsid w:val="00A748DF"/>
    <w:rsid w:val="00C761C6"/>
    <w:rsid w:val="00F358D2"/>
    <w:rsid w:val="00F8626A"/>
    <w:rsid w:val="00FC24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32B0F"/>
  <w15:docId w15:val="{9B0E697A-6207-450A-B81A-9F3F2FF0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sz w:val="24"/>
      <w:szCs w:val="24"/>
      <w:u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alkveAltlk">
    <w:name w:val="Başlık ve Altlık"/>
    <w:pPr>
      <w:tabs>
        <w:tab w:val="right" w:pos="9020"/>
      </w:tabs>
    </w:pPr>
    <w:rPr>
      <w:rFonts w:ascii="Helvetica Neue" w:hAnsi="Helvetica Neue" w:cs="Arial Unicode MS"/>
      <w:color w:val="000000"/>
      <w:sz w:val="24"/>
      <w:szCs w:val="24"/>
    </w:rPr>
  </w:style>
  <w:style w:type="paragraph" w:customStyle="1" w:styleId="Altbilgi">
    <w:name w:val="Altbilgi"/>
    <w:pPr>
      <w:tabs>
        <w:tab w:val="center" w:pos="4536"/>
        <w:tab w:val="right" w:pos="9072"/>
      </w:tabs>
    </w:pPr>
    <w:rPr>
      <w:rFonts w:cs="Arial Unicode MS"/>
      <w:color w:val="000000"/>
      <w:sz w:val="24"/>
      <w:szCs w:val="24"/>
      <w:u w:color="000000"/>
    </w:rPr>
  </w:style>
  <w:style w:type="numbering" w:customStyle="1" w:styleId="eAktarlan1Stili">
    <w:name w:val="İçe Aktarılan 1 Stili"/>
    <w:pPr>
      <w:numPr>
        <w:numId w:val="1"/>
      </w:numPr>
    </w:pPr>
  </w:style>
  <w:style w:type="paragraph" w:customStyle="1" w:styleId="Saptanm">
    <w:name w:val="Saptanmış"/>
    <w:rPr>
      <w:rFonts w:ascii="Helvetica Neue" w:hAnsi="Helvetica Neue" w:cs="Arial Unicode MS"/>
      <w:color w:val="000000"/>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682</Words>
  <Characters>3888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Ferdi TANIR</dc:creator>
  <cp:lastModifiedBy>Win10</cp:lastModifiedBy>
  <cp:revision>18</cp:revision>
  <dcterms:created xsi:type="dcterms:W3CDTF">2021-01-18T11:58:00Z</dcterms:created>
  <dcterms:modified xsi:type="dcterms:W3CDTF">2024-01-29T12:47:00Z</dcterms:modified>
</cp:coreProperties>
</file>